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64"/>
        <w:pBdr/>
        <w:spacing/>
        <w:ind/>
        <w:jc w:val="center"/>
        <w:rPr>
          <w:color w:val="c00000"/>
          <w:sz w:val="36"/>
          <w:szCs w:val="36"/>
          <w:highlight w:val="none"/>
          <w14:ligatures w14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-190500</wp:posOffset>
                </wp:positionV>
                <wp:extent cx="1772125" cy="69969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074728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772125" cy="6996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120;o:allowoverlap:true;o:allowincell:true;mso-position-horizontal-relative:text;margin-left:-12.00pt;mso-position-horizontal:absolute;mso-position-vertical-relative:text;margin-top:-15.00pt;mso-position-vertical:absolute;width:139.54pt;height:55.09pt;mso-wrap-distance-left:9.07pt;mso-wrap-distance-top:0.00pt;mso-wrap-distance-right:9.07pt;mso-wrap-distance-bottom:0.00pt;z-index:1;" wrapcoords="0 0 100000 0 100000 100000 0 100000" stroked="false">
                <w10:wrap type="tight"/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c00000"/>
          <w:sz w:val="36"/>
          <w:szCs w:val="36"/>
        </w:rPr>
        <w:t xml:space="preserve">Рекомендации врача при подготовке к колоноскопии</w:t>
      </w:r>
      <w:r>
        <w:rPr>
          <w:color w:val="c00000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36"/>
          <w:szCs w:val="36"/>
        </w:rPr>
        <w:t xml:space="preserve">препаратом МОВИПРЕП</w:t>
      </w:r>
      <w:r>
        <w:rPr>
          <w:color w:val="c00000"/>
          <w:sz w:val="36"/>
          <w:szCs w:val="36"/>
          <w:highlight w:val="none"/>
          <w14:ligatures w14:val="none"/>
        </w:rPr>
      </w:r>
      <w:r>
        <w:rPr>
          <w:color w:val="c00000"/>
          <w:sz w:val="36"/>
          <w:szCs w:val="36"/>
          <w:highlight w:val="none"/>
          <w14:ligatures w14:val="none"/>
        </w:rPr>
      </w:r>
    </w:p>
    <w:p>
      <w:pPr>
        <w:pStyle w:val="964"/>
        <w:pBdr/>
        <w:spacing w:after="0"/>
        <w:ind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pStyle w:val="964"/>
        <w:pBdr/>
        <w:spacing w:after="0"/>
        <w:ind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Врач: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Раскидной Борис Анатольевич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br/>
        <w:t xml:space="preserve">Адрес: пр. Генерала Острякова,  36-А</w:t>
      </w:r>
      <w:r>
        <w:rPr>
          <w:b/>
          <w:bCs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2 этаж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pStyle w:val="964"/>
        <w:pBdr/>
        <w:spacing w:after="0"/>
        <w:ind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Дата: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_______________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64"/>
        <w:pBdr/>
        <w:spacing w:after="0"/>
        <w:ind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64"/>
        <w:pBdr/>
        <w:spacing w:after="0"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c00000"/>
          <w:sz w:val="24"/>
        </w:rPr>
      </w:r>
      <w:r>
        <w:rPr>
          <w:rFonts w:ascii="Times New Roman" w:hAnsi="Times New Roman" w:eastAsia="Times New Roman" w:cs="Times New Roman"/>
          <w:b/>
          <w:i w:val="0"/>
          <w:iCs w:val="0"/>
          <w:color w:val="c00000"/>
          <w:sz w:val="32"/>
          <w:szCs w:val="32"/>
          <w:u w:val="single"/>
        </w:rPr>
        <w:t xml:space="preserve">Мовипреп</w:t>
      </w:r>
      <w:r>
        <w:rPr>
          <w:rFonts w:ascii="Times New Roman" w:hAnsi="Times New Roman" w:eastAsia="Times New Roman" w:cs="Times New Roman"/>
          <w:color w:val="c000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</w:rPr>
        <w:t xml:space="preserve">(1 упаковка – 2 пакета, содержащий по 2 саше А и В)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00957" cy="363681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08689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 rotWithShape="1">
                        <a:blip r:embed="rId10"/>
                        <a:srcRect l="0" t="0" r="0" b="0"/>
                        <a:stretch/>
                      </pic:blipFill>
                      <pic:spPr bwMode="auto">
                        <a:xfrm flipH="0" flipV="0">
                          <a:off x="0" y="0"/>
                          <a:ext cx="4500956" cy="36368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54.41pt;height:286.36pt;mso-wrap-distance-left:0.00pt;mso-wrap-distance-top:0.00pt;mso-wrap-distance-right:0.00pt;mso-wrap-distance-bottom:0.00pt;z-index:1;" stroked="false">
                <v:imagedata r:id="rId10" o:title="" croptop="0f" cropleft="0f" cropbottom="0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pBdr/>
        <w:spacing w:after="0"/>
        <w:ind w:firstLine="708" w:left="2124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i w:val="0"/>
          <w:color w:val="c00000"/>
          <w:sz w:val="32"/>
          <w:szCs w:val="32"/>
          <w:u w:val="none"/>
        </w:rPr>
        <w:t xml:space="preserve">Подготовка к обследованию:</w:t>
      </w:r>
      <w:r>
        <w:rPr>
          <w:rFonts w:ascii="Times New Roman" w:hAnsi="Times New Roman" w:eastAsia="Times New Roman" w:cs="Times New Roman"/>
          <w:b/>
          <w:color w:val="c00000"/>
          <w:sz w:val="36"/>
          <w:szCs w:val="36"/>
        </w:rPr>
        <w:tab/>
      </w: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pBdr/>
        <w:spacing w:after="0"/>
        <w:ind w:firstLine="708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</w:rPr>
        <w:t xml:space="preserve">За день до обследования: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u w:val="single"/>
        </w:rPr>
      </w:r>
    </w:p>
    <w:p>
      <w:pPr>
        <w:pStyle w:val="964"/>
        <w:pBdr/>
        <w:spacing w:after="0"/>
        <w:ind w:firstLine="70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Завтрак и лёгкий обед: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списку разрешённых продуктов и жидкостей: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/>
        <w:ind w:firstLine="0" w:left="7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пить жидкость в неограниченном количестве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чай,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воду без газа,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сок осветленный без мякоти, бульон, компот.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Bdr/>
        <w:spacing w:after="0"/>
        <w:ind w:firstLine="0" w:left="7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Ужин: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только разрешённые прозрачные жидкости.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62"/>
        <w:numPr>
          <w:ilvl w:val="0"/>
          <w:numId w:val="27"/>
        </w:numPr>
        <w:pBdr/>
        <w:spacing w:after="0"/>
        <w:ind/>
        <w:rPr>
          <w:rFonts w:ascii="Times New Roman" w:hAnsi="Times New Roman"/>
          <w:color w:val="c00000"/>
        </w:rPr>
      </w:pP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none"/>
        </w:rPr>
        <w:t xml:space="preserve">Если записаны на </w:t>
      </w: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none"/>
        </w:rPr>
        <w:t xml:space="preserve">9:00:</w:t>
      </w:r>
      <w:r>
        <w:rPr>
          <w:rFonts w:ascii="Times New Roman" w:hAnsi="Times New Roman"/>
          <w:b/>
          <w:i w:val="0"/>
          <w:color w:val="c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color w:val="c00000"/>
        </w:rPr>
      </w:r>
      <w:r>
        <w:rPr>
          <w:rFonts w:ascii="Times New Roman" w:hAnsi="Times New Roman"/>
          <w:color w:val="c00000"/>
        </w:rPr>
      </w:r>
    </w:p>
    <w:p>
      <w:pPr>
        <w:pBdr/>
        <w:spacing w:after="0"/>
        <w:ind w:left="7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выпиваете препарат накануне за день,в 17:00 и в 21:00.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62"/>
        <w:numPr>
          <w:ilvl w:val="0"/>
          <w:numId w:val="27"/>
        </w:numPr>
        <w:pBdr/>
        <w:spacing w:after="0"/>
        <w:ind/>
        <w:rPr>
          <w:rFonts w:ascii="Times New Roman" w:hAnsi="Times New Roman"/>
          <w:color w:val="2f5496" w:themeColor="accent5" w:themeShade="BF"/>
          <w:u w:val="none"/>
        </w:rPr>
      </w:pP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none"/>
        </w:rPr>
        <w:t xml:space="preserve">Если записаны на 10:30-11:00:</w:t>
      </w:r>
      <w:r>
        <w:rPr>
          <w:rFonts w:ascii="Times New Roman" w:hAnsi="Times New Roman"/>
          <w:color w:val="2f5496" w:themeColor="accent5" w:themeShade="BF"/>
          <w:u w:val="none"/>
        </w:rPr>
      </w:r>
      <w:r>
        <w:rPr>
          <w:rFonts w:ascii="Times New Roman" w:hAnsi="Times New Roman"/>
          <w:color w:val="2f5496" w:themeColor="accent5" w:themeShade="BF"/>
          <w:u w:val="none"/>
        </w:rPr>
      </w:r>
    </w:p>
    <w:p>
      <w:pPr>
        <w:pBdr/>
        <w:spacing w:after="0"/>
        <w:ind w:left="7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выпиваете препарат накануне за день в 21:00 и в день обследования в 6:00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62"/>
        <w:numPr>
          <w:ilvl w:val="0"/>
          <w:numId w:val="27"/>
        </w:numPr>
        <w:pBdr/>
        <w:spacing w:after="0"/>
        <w:ind/>
        <w:rPr>
          <w:rFonts w:ascii="Times New Roman" w:hAnsi="Times New Roman"/>
          <w:color w:val="2f5496" w:themeColor="accent5" w:themeShade="BF"/>
          <w:u w:val="single"/>
        </w:rPr>
      </w:pP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single"/>
        </w:rPr>
      </w: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single"/>
        </w:rPr>
        <w:t xml:space="preserve">Если записаны на 12: 30-13:30</w:t>
      </w:r>
      <w:r>
        <w:rPr>
          <w:rFonts w:ascii="Times New Roman" w:hAnsi="Times New Roman"/>
          <w:b/>
          <w:i w:val="0"/>
          <w:color w:val="2f5496" w:themeColor="accent5" w:themeShade="BF"/>
          <w:sz w:val="24"/>
          <w:szCs w:val="24"/>
          <w:u w:val="single"/>
        </w:rPr>
        <w:t xml:space="preserve">:</w:t>
      </w:r>
      <w:r>
        <w:rPr>
          <w:rFonts w:ascii="Times New Roman" w:hAnsi="Times New Roman"/>
          <w:color w:val="2f5496" w:themeColor="accent5" w:themeShade="BF"/>
          <w:u w:val="single"/>
        </w:rPr>
      </w:r>
      <w:r>
        <w:rPr>
          <w:rFonts w:ascii="Times New Roman" w:hAnsi="Times New Roman"/>
          <w:color w:val="2f5496" w:themeColor="accent5" w:themeShade="BF"/>
          <w:u w:val="single"/>
        </w:rPr>
      </w:r>
    </w:p>
    <w:p>
      <w:pPr>
        <w:pBdr/>
        <w:spacing w:after="0"/>
        <w:ind w:left="720"/>
        <w:rPr>
          <w:rFonts w:ascii="Times New Roman" w:hAnsi="Times New Roman"/>
          <w:color w:val="ff0000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выпиваете препарат</w:t>
      </w:r>
      <w:r>
        <w:rPr>
          <w:rFonts w:ascii="Times New Roman" w:hAnsi="Times New Roman"/>
          <w:b w:val="0"/>
          <w:bCs w:val="0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накануне за день в 22:00 и в день обследования в 8:00</w:t>
      </w:r>
      <w:r>
        <w:rPr>
          <w:rFonts w:ascii="Times New Roman" w:hAnsi="Times New Roman"/>
          <w:color w:val="ff0000"/>
        </w:rPr>
      </w:r>
      <w:r>
        <w:rPr>
          <w:rFonts w:ascii="Times New Roman" w:hAnsi="Times New Roman"/>
          <w:color w:val="ff0000"/>
        </w:rPr>
      </w:r>
    </w:p>
    <w:p>
      <w:pPr>
        <w:pStyle w:val="962"/>
        <w:numPr>
          <w:ilvl w:val="0"/>
          <w:numId w:val="28"/>
        </w:numPr>
        <w:pBdr/>
        <w:spacing w:after="0"/>
        <w:ind/>
        <w:rPr>
          <w:rFonts w:ascii="Times New Roman" w:hAnsi="Times New Roman"/>
          <w:bCs w:val="0"/>
          <w:i w:val="0"/>
          <w:color w:val="2f5496" w:themeColor="accent5" w:themeShade="BF"/>
          <w:u w:val="none"/>
        </w:rPr>
      </w:pPr>
      <w:r>
        <w:rPr>
          <w:rFonts w:ascii="Times New Roman" w:hAnsi="Times New Roman"/>
          <w:b/>
          <w:i w:val="0"/>
          <w:iCs w:val="0"/>
          <w:color w:val="2f5496" w:themeColor="accent5" w:themeShade="BF"/>
          <w:sz w:val="24"/>
          <w:szCs w:val="24"/>
          <w:u w:val="none"/>
        </w:rPr>
        <w:t xml:space="preserve">Если записаны на 14:00:</w:t>
      </w:r>
      <w:r>
        <w:rPr>
          <w:rFonts w:ascii="Times New Roman" w:hAnsi="Times New Roman"/>
          <w:bCs w:val="0"/>
          <w:i w:val="0"/>
          <w:color w:val="2f5496" w:themeColor="accent5" w:themeShade="BF"/>
          <w:u w:val="none"/>
        </w:rPr>
      </w:r>
      <w:r>
        <w:rPr>
          <w:rFonts w:ascii="Times New Roman" w:hAnsi="Times New Roman"/>
          <w:bCs w:val="0"/>
          <w:i w:val="0"/>
          <w:color w:val="2f5496" w:themeColor="accent5" w:themeShade="BF"/>
          <w:u w:val="none"/>
        </w:rPr>
      </w:r>
    </w:p>
    <w:p>
      <w:pPr>
        <w:pBdr/>
        <w:spacing w:after="0"/>
        <w:ind w:left="7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выпиваете препарат утром в день обследования в 6:00 и в 10:00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62"/>
        <w:numPr>
          <w:ilvl w:val="0"/>
          <w:numId w:val="28"/>
        </w:numPr>
        <w:pBdr/>
        <w:spacing w:after="0"/>
        <w:ind/>
        <w:rPr>
          <w:rFonts w:ascii="Times New Roman" w:hAnsi="Times New Roman"/>
          <w:color w:val="2f5496" w:themeColor="accent5" w:themeShade="BF"/>
          <w:u w:val="none"/>
        </w:rPr>
      </w:pPr>
      <w:r>
        <w:rPr>
          <w:rFonts w:ascii="Times New Roman" w:hAnsi="Times New Roman"/>
          <w:b/>
          <w:color w:val="2f5496" w:themeColor="accent5" w:themeShade="BF"/>
          <w:sz w:val="24"/>
          <w:szCs w:val="24"/>
          <w:u w:val="none"/>
        </w:rPr>
        <w:t xml:space="preserve">Если записаны на 16:00-17:00</w:t>
      </w:r>
      <w:r>
        <w:rPr>
          <w:rFonts w:ascii="Times New Roman" w:hAnsi="Times New Roman"/>
          <w:b/>
          <w:color w:val="2f5496" w:themeColor="accent5" w:themeShade="BF"/>
          <w:sz w:val="24"/>
          <w:szCs w:val="24"/>
          <w:u w:val="none"/>
        </w:rPr>
        <w:t xml:space="preserve">:</w:t>
      </w:r>
      <w:r>
        <w:rPr>
          <w:rFonts w:ascii="Times New Roman" w:hAnsi="Times New Roman"/>
          <w:color w:val="2f5496" w:themeColor="accent5" w:themeShade="BF"/>
          <w:u w:val="none"/>
        </w:rPr>
      </w:r>
      <w:r>
        <w:rPr>
          <w:rFonts w:ascii="Times New Roman" w:hAnsi="Times New Roman"/>
          <w:color w:val="2f5496" w:themeColor="accent5" w:themeShade="BF"/>
          <w:u w:val="none"/>
        </w:rPr>
      </w:r>
    </w:p>
    <w:p>
      <w:pPr>
        <w:pBdr/>
        <w:spacing w:after="0"/>
        <w:ind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выпиваете  препарат только в день обследования,в 9:00 и в 13:00.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Bdr/>
        <w:spacing w:after="0"/>
        <w:ind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pBdr/>
        <w:spacing w:after="0"/>
        <w:ind w:firstLine="708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color w:val="c00000"/>
          <w:sz w:val="32"/>
          <w:szCs w:val="32"/>
          <w:u w:val="none"/>
        </w:rPr>
        <w:t xml:space="preserve">В день осмотра</w:t>
      </w:r>
      <w:r>
        <w:rPr>
          <w:rFonts w:ascii="Times New Roman" w:hAnsi="Times New Roman" w:eastAsia="Times New Roman" w:cs="Times New Roman"/>
          <w:b/>
          <w:i w:val="0"/>
          <w:color w:val="c00000"/>
          <w:sz w:val="32"/>
          <w:szCs w:val="32"/>
          <w:u w:val="none"/>
        </w:rPr>
        <w:t xml:space="preserve">:</w:t>
      </w:r>
      <w:r>
        <w:rPr>
          <w:rFonts w:ascii="Times New Roman" w:hAnsi="Times New Roman" w:eastAsia="Times New Roman" w:cs="Times New Roman"/>
          <w:b/>
          <w:i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Пить можно: чай, воду без газа, сок, бульон, компот.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964"/>
        <w:pBdr/>
        <w:spacing w:after="0"/>
        <w:ind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pStyle w:val="964"/>
        <w:pBdr/>
        <w:spacing w:after="0"/>
        <w:ind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pStyle w:val="964"/>
        <w:pBdr/>
        <w:spacing w:after="0"/>
        <w:ind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highlight w:val="none"/>
          <w:u w:val="single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pStyle w:val="964"/>
        <w:pBdr/>
        <w:spacing w:after="0"/>
        <w:ind w:firstLine="708"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color w:val="c00000"/>
          <w:sz w:val="32"/>
          <w:szCs w:val="32"/>
          <w:u w:val="none"/>
        </w:rPr>
        <w:t xml:space="preserve">При себе иметь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single"/>
        </w:rPr>
      </w:r>
    </w:p>
    <w:p>
      <w:pPr>
        <w:pStyle w:val="962"/>
        <w:numPr>
          <w:ilvl w:val="0"/>
          <w:numId w:val="32"/>
        </w:numPr>
        <w:pBdr/>
        <w:spacing w:after="0"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Предыдущие обследования  </w:t>
      </w:r>
      <w:r>
        <w:rPr>
          <w:rFonts w:ascii="Times New Roman" w:hAnsi="Times New Roman" w:eastAsia="Times New Roman" w:cs="Times New Roman"/>
          <w:i/>
          <w:sz w:val="24"/>
        </w:rPr>
        <w:t xml:space="preserve">(если есть на руках - </w:t>
      </w:r>
      <w:r>
        <w:rPr>
          <w:rFonts w:ascii="Times New Roman" w:hAnsi="Times New Roman" w:eastAsia="Times New Roman" w:cs="Times New Roman"/>
          <w:sz w:val="24"/>
        </w:rPr>
        <w:t xml:space="preserve">УЗИ органов брюшной полости, рентген кишечника)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2"/>
        <w:numPr>
          <w:ilvl w:val="0"/>
          <w:numId w:val="32"/>
        </w:numPr>
        <w:pBdr/>
        <w:spacing w:after="0"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Направление лечащего врача </w:t>
      </w:r>
      <w:r>
        <w:rPr>
          <w:rFonts w:ascii="Times New Roman" w:hAnsi="Times New Roman" w:eastAsia="Times New Roman" w:cs="Times New Roman"/>
          <w:i/>
          <w:iCs/>
          <w:sz w:val="24"/>
        </w:rPr>
        <w:t xml:space="preserve">(при наличии)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2"/>
        <w:numPr>
          <w:ilvl w:val="0"/>
          <w:numId w:val="32"/>
        </w:numPr>
        <w:pBdr/>
        <w:spacing w:after="0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  <w:t xml:space="preserve">Чистые носки и футболку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pBdr/>
        <w:spacing w:line="240" w:lineRule="auto"/>
        <w:ind w:firstLine="708"/>
        <w:jc w:val="center"/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</w:p>
    <w:p>
      <w:pPr>
        <w:pStyle w:val="964"/>
        <w:pBdr/>
        <w:spacing w:line="240" w:lineRule="auto"/>
        <w:ind w:firstLine="708"/>
        <w:jc w:val="center"/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  <w:t xml:space="preserve">Очищение кишечника  проводится с применением</w:t>
      </w: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  <w:t xml:space="preserve"> осмотического </w:t>
      </w: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</w:p>
    <w:p>
      <w:pPr>
        <w:pStyle w:val="964"/>
        <w:pBdr/>
        <w:spacing w:line="240" w:lineRule="auto"/>
        <w:ind w:firstLine="708"/>
        <w:jc w:val="center"/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  <w:t xml:space="preserve">слабительного препарата «МОВИПРЕП». </w:t>
      </w:r>
      <w:r>
        <w:rPr>
          <w:rFonts w:ascii="Times New Roman" w:hAnsi="Times New Roman" w:eastAsia="Times New Roman" w:cs="Times New Roman"/>
          <w:b/>
          <w:color w:val="c00000"/>
          <w:sz w:val="28"/>
          <w:szCs w:val="28"/>
          <w:u w:val="none"/>
        </w:rPr>
        <w:t xml:space="preserve">Рекомендации по приёму раствора: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highlight w:val="none"/>
          <w:u w:val="none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С момента начала приёма МОВИПРЕП не следует употреблять пищу, при этом разрешённую жидкость можно пить в неограниченном количестве.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Уменьшить объём воды при приготовлении раствора МОВИПРЕП и дополнительной разрешённой жидкости нельзя.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Раствор препарата принимать дробно, по 250 мл каждые 15 минут.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П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ри специфическом вкусовом восприятии препарата МОВИПРЕП можно пить раствор охлаждённым - разрешается добавлять кубики льда, чтобы было легче пить. Также возможно пить раствор  через коктейльную трубочку, рассасывать леденцовую карамель или жевательную рези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нку, чередовать с разрешённой жидкостью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Во время приёма раствора препарата нужно соблюдать двигательную активность: ходить, выполнять круговые движения корпусом...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Начало действия препарата индивидуально: в среднем в течении 2 часов.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Не требуется дополнительно очищать организм клизмой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2"/>
        <w:numPr>
          <w:ilvl w:val="0"/>
          <w:numId w:val="31"/>
        </w:numPr>
        <w:pBdr/>
        <w:spacing w:after="0"/>
        <w:ind/>
        <w:jc w:val="left"/>
        <w:rPr>
          <w:rFonts w:ascii="Times New Roman" w:hAnsi="Times New Roman" w:eastAsia="Times New Roman" w:cs="Times New Roman"/>
          <w:b w:val="0"/>
          <w:color w:val="000000"/>
          <w:sz w:val="24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</w:rPr>
        <w:t xml:space="preserve">Окончить приём препарата следует за 2-4 часа до начала процедуры.</w:t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pStyle w:val="964"/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c00000"/>
          <w:sz w:val="32"/>
          <w:szCs w:val="32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r>
    </w:p>
    <w:p>
      <w:pPr>
        <w:pStyle w:val="964"/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c00000"/>
          <w:sz w:val="32"/>
          <w:szCs w:val="32"/>
          <w:u w:val="none"/>
        </w:rPr>
        <w:t xml:space="preserve">Подготовка к колоноскопии </w:t>
      </w:r>
      <w:r>
        <w:rPr>
          <w:rFonts w:ascii="Times New Roman" w:hAnsi="Times New Roman" w:eastAsia="Times New Roman" w:cs="Times New Roman"/>
          <w:b/>
          <w:color w:val="c00000"/>
          <w:sz w:val="32"/>
          <w:szCs w:val="32"/>
          <w:u w:val="none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:u w:val="none"/>
        </w:rPr>
      </w:r>
    </w:p>
    <w:p>
      <w:pPr>
        <w:pStyle w:val="964"/>
        <w:pBdr/>
        <w:spacing/>
        <w:ind w:firstLine="0" w:left="708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Подготовка кишечника необходима для создания условий, при которых просвет толстого кишечника будет свободен от остатков каловых масс, газов, крови и слизи. Это даст возможность полного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качественного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осмотра вс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ех отделов кишки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64"/>
        <w:pBdr/>
        <w:spacing/>
        <w:ind w:firstLine="708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Начинается процедура подготовки кишечника с правильной (бесшлаковой) </w:t>
        <w:tab/>
        <w:t xml:space="preserve">диеты за 3-е суток до обследования.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За неделю до ВКС  нельзя принимать </w:t>
      </w:r>
      <w:r>
        <w:rPr>
          <w:rFonts w:ascii="Times New Roman" w:hAnsi="Times New Roman" w:eastAsia="Times New Roman" w:cs="Times New Roman"/>
          <w:b/>
          <w:sz w:val="28"/>
          <w:szCs w:val="28"/>
          <w:u w:val="none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препараты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железа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Style w:val="964"/>
        <w:pBdr/>
        <w:spacing/>
        <w:ind w:firstLine="708"/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Разрешено употреблять: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</w:p>
    <w:p>
      <w:pPr>
        <w:pStyle w:val="964"/>
        <w:numPr>
          <w:ilvl w:val="0"/>
          <w:numId w:val="33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нежирные бульоны</w:t>
      </w:r>
      <w:bookmarkStart w:id="0" w:name="_GoBack"/>
      <w:r>
        <w:rPr>
          <w:rFonts w:ascii="Times New Roman" w:hAnsi="Times New Roman" w:eastAsia="Times New Roman" w:cs="Times New Roman"/>
          <w:sz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мясо в вареном виде (говядина, курица, рыба);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3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кисломолочные продукты (нежирные творог,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кефир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сыр, сметана,, сливочное масло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3"/>
        </w:num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йца, картофельное пюре.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numPr>
          <w:ilvl w:val="0"/>
          <w:numId w:val="33"/>
        </w:num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сахар, мёд (не в сотах).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numPr>
          <w:ilvl w:val="0"/>
          <w:numId w:val="33"/>
        </w:num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бульоны прозрачные , сок без мякоти, чай, вода, безалкогольные неокрашенные напитки.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64"/>
        <w:pBdr/>
        <w:spacing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64"/>
        <w:pBdr/>
        <w:spacing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Категорически запрещен прием продуктов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которые могут образовывать </w:t>
        <w:tab/>
        <w:t xml:space="preserve">отложения, оседающие на стенках кишечника, к ним относятся: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Свежие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овощи и фрукты (свекла,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морковь,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огурцы,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томаты, перец; яблоки, арбуз, дыня, виноград;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ягод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 с мелкими косточками – клубника, малина, киви, инжир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бобовые зерна (горох, соя, фасоль);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орехи (грецкий, лесной орех);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варенье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каши (перловая, гречневая, овсяная (цельнозерновая), пшенная);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numPr>
          <w:ilvl w:val="0"/>
          <w:numId w:val="34"/>
        </w:numPr>
        <w:pBdr/>
        <w:spacing/>
        <w:ind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молоко, газиро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ванная вода, квас, пиво и другие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алкогольные напитки.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964"/>
        <w:pBdr/>
        <w:spacing/>
        <w:ind/>
        <w:jc w:val="left"/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</w:r>
    </w:p>
    <w:p>
      <w:pPr>
        <w:pStyle w:val="964"/>
        <w:pBdr/>
        <w:spacing/>
        <w:ind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  <w:highlight w:val="none"/>
        </w:rPr>
      </w:r>
    </w:p>
    <w:p>
      <w:pPr>
        <w:pStyle w:val="964"/>
        <w:pBdr/>
        <w:spacing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При проведении колоноскопии ПОД СЕДАЦИЕЙ необходимо 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</w:p>
    <w:p>
      <w:pPr>
        <w:pStyle w:val="964"/>
        <w:pBdr/>
        <w:spacing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получить допуск от анестезиолога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 (консультация в день 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</w:p>
    <w:p w14:paraId="60730A93">
      <w:pPr>
        <w:pStyle w:val="964"/>
        <w:pBdr/>
        <w:spacing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обследования) - 1500 руб.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</w:r>
    </w:p>
    <w:p>
      <w:pPr>
        <w:pStyle w:val="964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получение допуска на процедуру у  Вас должны быть                                                                        следующие результаты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лабораторных и диагностических исследований: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 Общий анализ крови ( не более месяца ) - обязательно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 Анализ крови на глюкозу ( не более месяца ) - обязательно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93B6438"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</w:t>
      </w:r>
      <w:r>
        <w:rPr>
          <w:rFonts w:ascii="Times New Roman" w:hAnsi="Times New Roman" w:cs="Times New Roman"/>
          <w:sz w:val="24"/>
          <w:szCs w:val="24"/>
        </w:rPr>
        <w:t xml:space="preserve"> Анализ крови - коагулограмма (не более месяца ) - 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 ФЛЮ ( не более года ) - обязательно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 ЭКГ для 45+ </w:t>
      </w:r>
      <w:r>
        <w:rPr>
          <w:rFonts w:ascii="Times New Roman" w:hAnsi="Times New Roman" w:cs="Times New Roman"/>
          <w:sz w:val="24"/>
          <w:szCs w:val="24"/>
        </w:rPr>
        <w:t xml:space="preserve">пациентов ( не более месяца ) - обязательно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 История болезни ( все клинические и диагностические исследования, консультативные заключения специалистов за прошедший год ) – рекомендовано.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2ED21EC5">
      <w:pPr>
        <w:pStyle w:val="964"/>
        <w:pBdr/>
        <w:spacing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</w:rPr>
        <w:t xml:space="preserve">Также при себе иметь</w:t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c00000"/>
          <w:sz w:val="32"/>
          <w:szCs w:val="32"/>
          <w:highlight w:val="none"/>
          <w14:ligatures w14:val="none"/>
        </w:rPr>
      </w:r>
    </w:p>
    <w:p w14:paraId="58730C0D">
      <w:pPr>
        <w:pStyle w:val="964"/>
        <w:numPr>
          <w:ilvl w:val="0"/>
          <w:numId w:val="36"/>
        </w:numPr>
        <w:pBdr/>
        <w:spacing/>
        <w:ind w:right="0" w:hanging="360" w:left="850"/>
        <w:jc w:val="lef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Предыдущие обследования  </w:t>
      </w:r>
      <w:r>
        <w:rPr>
          <w:rFonts w:ascii="Times New Roman" w:hAnsi="Times New Roman" w:cs="Times New Roman"/>
          <w:sz w:val="24"/>
          <w:szCs w:val="24"/>
        </w:rPr>
        <w:t xml:space="preserve">(если есть на руках - </w:t>
      </w:r>
      <w:r>
        <w:rPr>
          <w:rFonts w:ascii="Times New Roman" w:hAnsi="Times New Roman" w:cs="Times New Roman"/>
          <w:sz w:val="24"/>
          <w:szCs w:val="24"/>
        </w:rPr>
        <w:t xml:space="preserve">УЗИ органов брюшной полости, рентген кишечника)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 w14:paraId="30285D10">
      <w:pPr>
        <w:pStyle w:val="964"/>
        <w:numPr>
          <w:ilvl w:val="0"/>
          <w:numId w:val="36"/>
        </w:numPr>
        <w:pBdr/>
        <w:spacing/>
        <w:ind w:right="0" w:hanging="360" w:left="850"/>
        <w:jc w:val="lef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лечащего врача </w:t>
      </w:r>
      <w:r>
        <w:rPr>
          <w:rFonts w:ascii="Times New Roman" w:hAnsi="Times New Roman" w:cs="Times New Roman"/>
          <w:sz w:val="24"/>
          <w:szCs w:val="24"/>
        </w:rPr>
        <w:t xml:space="preserve">(при наличии)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 w14:paraId="7DDF6CB3">
      <w:pPr>
        <w:pStyle w:val="964"/>
        <w:numPr>
          <w:ilvl w:val="0"/>
          <w:numId w:val="36"/>
        </w:numPr>
        <w:pBdr/>
        <w:spacing/>
        <w:ind w:right="0" w:hanging="360" w:left="850"/>
        <w:jc w:val="lef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Чистые носки и футболку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4"/>
        <w:pBdr/>
        <w:spacing/>
        <w:ind w:right="0" w:firstLine="0" w:left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4"/>
        <w:pBdr/>
        <w:spacing/>
        <w:ind w:firstLine="0"/>
        <w:jc w:val="left"/>
        <w:rPr>
          <w:rFonts w:ascii="Times New Roman" w:hAnsi="Times New Roman" w:cs="Times New Roman"/>
          <w:b/>
          <w:bCs/>
          <w:color w:val="c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highlight w:val="none"/>
        </w:rPr>
        <w:t xml:space="preserve">  Подготовка к процедуре под седацией такая же, как и при обычной колоноскопии: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highlight w:val="none"/>
        </w:rPr>
      </w:r>
    </w:p>
    <w:p>
      <w:pPr>
        <w:pStyle w:val="964"/>
        <w:numPr>
          <w:ilvl w:val="0"/>
          <w:numId w:val="30"/>
        </w:numPr>
        <w:pBdr/>
        <w:spacing/>
        <w:ind w:right="0" w:firstLine="0" w:left="567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Бесшлаковая диета за 3 дня до обследования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4"/>
        <w:numPr>
          <w:ilvl w:val="0"/>
          <w:numId w:val="30"/>
        </w:numPr>
        <w:pBdr/>
        <w:spacing/>
        <w:ind w:right="0" w:firstLine="0" w:left="567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Очищение кишечника препаратом Мовипреп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 w14:paraId="37B86421">
      <w:pPr>
        <w:pStyle w:val="964"/>
        <w:numPr>
          <w:ilvl w:val="0"/>
          <w:numId w:val="30"/>
        </w:numPr>
        <w:pBdr/>
        <w:spacing/>
        <w:ind w:right="0" w:firstLine="0" w:left="567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За неделю до ВКС нельзя принимать препараты железа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4"/>
        <w:pBdr/>
        <w:spacing/>
        <w:ind w:firstLine="0" w:left="0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4"/>
        <w:pBdr/>
        <w:spacing/>
        <w:ind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highlight w:val="none"/>
        </w:rPr>
        <w:t xml:space="preserve">ВАЖНО! После процедур под седацией нельзя садиться за руль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highlight w:val="none"/>
        </w:rPr>
      </w:r>
    </w:p>
    <w:p>
      <w:pPr>
        <w:pStyle w:val="964"/>
        <w:pBdr/>
        <w:spacing/>
        <w:ind w:firstLine="708"/>
        <w:jc w:val="lef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Оплата за проведение эндоскопической процедуры  осуществ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ляется в день проведения.                                                             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4"/>
        <w:pBdr/>
        <w:spacing/>
        <w:ind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Bdr/>
        <w:tabs>
          <w:tab w:val="left" w:leader="none" w:pos="0"/>
        </w:tabs>
        <w:spacing/>
        <w:ind/>
        <w:jc w:val="center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highlight w:val="none"/>
          <w:u w:val="single"/>
        </w:rPr>
      </w:r>
      <w: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r>
    </w:p>
    <w:sectPr>
      <w:footnotePr/>
      <w:endnotePr/>
      <w:type w:val="nextPage"/>
      <w:pgSz w:h="16838" w:orient="portrait" w:w="11906"/>
      <w:pgMar w:top="436" w:right="697" w:bottom="386" w:left="437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space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/>
        <w:sz w:val="20"/>
      </w:rPr>
      <w:start w:val="1"/>
      <w:suff w:val="space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/>
        <w:sz w:val="20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  <w:sz w:val="20"/>
      </w:rPr>
      <w:start w:val="1"/>
      <w:suff w:val="space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/>
        <w:sz w:val="20"/>
      </w:rPr>
      <w:start w:val="1"/>
      <w:suff w:val="space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Symbol" w:hAnsi="Symbol"/>
        <w:sz w:val="20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  <w:sz w:val="20"/>
      </w:rPr>
      <w:start w:val="1"/>
      <w:suff w:val="space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Symbol" w:hAnsi="Symbol"/>
        <w:sz w:val="20"/>
      </w:rPr>
      <w:start w:val="1"/>
      <w:suff w:val="space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Symbol" w:hAnsi="Symbol"/>
        <w:sz w:val="20"/>
      </w:rPr>
      <w:start w:val="1"/>
      <w:suff w:val="space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space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/>
        <w:sz w:val="20"/>
      </w:rPr>
      <w:start w:val="1"/>
      <w:suff w:val="space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/>
        <w:sz w:val="20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  <w:sz w:val="20"/>
      </w:rPr>
      <w:start w:val="1"/>
      <w:suff w:val="space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/>
        <w:sz w:val="20"/>
      </w:rPr>
      <w:start w:val="1"/>
      <w:suff w:val="space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Symbol" w:hAnsi="Symbol"/>
        <w:sz w:val="20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  <w:sz w:val="20"/>
      </w:rPr>
      <w:start w:val="1"/>
      <w:suff w:val="space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Symbol" w:hAnsi="Symbol"/>
        <w:sz w:val="20"/>
      </w:rPr>
      <w:start w:val="1"/>
      <w:suff w:val="space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Symbol" w:hAnsi="Symbol"/>
        <w:sz w:val="20"/>
      </w:rPr>
      <w:start w:val="1"/>
      <w:suff w:val="space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space"/>
    </w:lvl>
  </w:abstractNum>
  <w:abstractNum w:abstractNumId="3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4"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6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7"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ascii="Wingdings" w:hAnsi="Wingdings" w:eastAsia="Wingdings" w:cs="Wingdings"/>
      </w:rPr>
      <w:start w:val="1"/>
      <w:suff w:val="space"/>
    </w:lvl>
  </w:abstractNum>
  <w:abstractNum w:abstractNumId="8"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ascii="Wingdings" w:hAnsi="Wingdings" w:eastAsia="Wingdings" w:cs="Wingdings"/>
      </w:rPr>
      <w:start w:val="1"/>
      <w:suff w:val="space"/>
    </w:lvl>
  </w:abstractNum>
  <w:abstractNum w:abstractNumId="9"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ascii="Wingdings" w:hAnsi="Wingdings" w:eastAsia="Wingdings" w:cs="Wingdings"/>
      </w:rPr>
      <w:start w:val="1"/>
      <w:suff w:val="space"/>
    </w:lvl>
  </w:abstractNum>
  <w:abstractNum w:abstractNumId="10"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hint="default"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ascii="Wingdings" w:hAnsi="Wingdings" w:eastAsia="Wingdings" w:cs="Wingdings"/>
      </w:rPr>
      <w:start w:val="1"/>
      <w:suff w:val="space"/>
    </w:lvl>
  </w:abstractNum>
  <w:abstractNum w:abstractNumId="11">
    <w:lvl w:ilvl="0">
      <w:isLgl w:val="false"/>
      <w:lvlJc w:val="left"/>
      <w:lvlText w:val="–"/>
      <w:numFmt w:val="bullet"/>
      <w:pPr>
        <w:pBdr/>
        <w:spacing/>
        <w:ind w:hanging="360" w:left="1429"/>
      </w:pPr>
      <w:rPr>
        <w:rFonts w:ascii="Arial" w:hAnsi="Arial" w:eastAsia="Arial" w:cs="Aria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ascii="Wingdings" w:hAnsi="Wingdings" w:eastAsia="Wingdings" w:cs="Wingdings"/>
      </w:rPr>
      <w:start w:val="1"/>
      <w:suff w:val="space"/>
    </w:lvl>
  </w:abstractNum>
  <w:abstractNum w:abstractNumId="12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ascii="Wingdings" w:hAnsi="Wingdings" w:eastAsia="Wingdings" w:cs="Wingdings"/>
      </w:rPr>
      <w:start w:val="1"/>
      <w:suff w:val="space"/>
    </w:lvl>
  </w:abstractNum>
  <w:abstractNum w:abstractNumId="13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14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/>
      </w:pPr>
      <w:rPr>
        <w:b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7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space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/>
        <w:sz w:val="20"/>
      </w:rPr>
      <w:start w:val="1"/>
      <w:suff w:val="space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/>
        <w:sz w:val="20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  <w:sz w:val="20"/>
      </w:rPr>
      <w:start w:val="1"/>
      <w:suff w:val="space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/>
        <w:sz w:val="20"/>
      </w:rPr>
      <w:start w:val="1"/>
      <w:suff w:val="space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Symbol" w:hAnsi="Symbol"/>
        <w:sz w:val="20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  <w:sz w:val="20"/>
      </w:rPr>
      <w:start w:val="1"/>
      <w:suff w:val="space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Symbol" w:hAnsi="Symbol"/>
        <w:sz w:val="20"/>
      </w:rPr>
      <w:start w:val="1"/>
      <w:suff w:val="space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Symbol" w:hAnsi="Symbol"/>
        <w:sz w:val="20"/>
      </w:rPr>
      <w:start w:val="1"/>
      <w:suff w:val="space"/>
    </w:lvl>
  </w:abstractNum>
  <w:abstractNum w:abstractNumId="18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space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/>
        <w:sz w:val="20"/>
      </w:rPr>
      <w:start w:val="1"/>
      <w:suff w:val="space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/>
        <w:sz w:val="20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  <w:sz w:val="20"/>
      </w:rPr>
      <w:start w:val="1"/>
      <w:suff w:val="space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/>
        <w:sz w:val="20"/>
      </w:rPr>
      <w:start w:val="1"/>
      <w:suff w:val="space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Symbol" w:hAnsi="Symbol"/>
        <w:sz w:val="20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  <w:sz w:val="20"/>
      </w:rPr>
      <w:start w:val="1"/>
      <w:suff w:val="space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Symbol" w:hAnsi="Symbol"/>
        <w:sz w:val="20"/>
      </w:rPr>
      <w:start w:val="1"/>
      <w:suff w:val="space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Symbol" w:hAnsi="Symbol"/>
        <w:sz w:val="20"/>
      </w:rPr>
      <w:start w:val="1"/>
      <w:suff w:val="space"/>
    </w:lvl>
  </w:abstractNum>
  <w:abstractNum w:abstractNumId="19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1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ascii="Wingdings" w:hAnsi="Wingdings" w:eastAsia="Wingdings" w:cs="Wingdings"/>
      </w:rPr>
      <w:start w:val="1"/>
      <w:suff w:val="space"/>
    </w:lvl>
  </w:abstractNum>
  <w:abstractNum w:abstractNumId="22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3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4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25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6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7"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ascii="Wingdings" w:hAnsi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space"/>
    </w:lvl>
  </w:abstractNum>
  <w:abstractNum w:abstractNumId="28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29">
    <w:lvl w:ilvl="0">
      <w:isLgl w:val="false"/>
      <w:lvlJc w:val="left"/>
      <w:lvlText w:val="%1)"/>
      <w:numFmt w:val="decimal"/>
      <w:pPr>
        <w:pBdr/>
        <w:spacing/>
        <w:ind/>
      </w:pPr>
      <w:rPr>
        <w:b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0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1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2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3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4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5">
    <w:nsid w:val="7DFDA13F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3">
    <w:name w:val="Placeholder Text"/>
    <w:basedOn w:val="963"/>
    <w:uiPriority w:val="99"/>
    <w:semiHidden/>
    <w:pPr>
      <w:pBdr/>
      <w:spacing/>
      <w:ind/>
    </w:pPr>
    <w:rPr>
      <w:color w:val="666666"/>
    </w:rPr>
  </w:style>
  <w:style w:type="character" w:styleId="774">
    <w:name w:val="Intense Emphasis"/>
    <w:basedOn w:val="96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75">
    <w:name w:val="Intense Reference"/>
    <w:basedOn w:val="96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76">
    <w:name w:val="Subtle Emphasis"/>
    <w:basedOn w:val="96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77">
    <w:name w:val="Emphasis"/>
    <w:basedOn w:val="963"/>
    <w:uiPriority w:val="20"/>
    <w:qFormat/>
    <w:pPr>
      <w:pBdr/>
      <w:spacing/>
      <w:ind/>
    </w:pPr>
    <w:rPr>
      <w:i/>
      <w:iCs/>
    </w:rPr>
  </w:style>
  <w:style w:type="character" w:styleId="778">
    <w:name w:val="Strong"/>
    <w:basedOn w:val="963"/>
    <w:uiPriority w:val="22"/>
    <w:qFormat/>
    <w:pPr>
      <w:pBdr/>
      <w:spacing/>
      <w:ind/>
    </w:pPr>
    <w:rPr>
      <w:b/>
      <w:bCs/>
    </w:rPr>
  </w:style>
  <w:style w:type="character" w:styleId="779">
    <w:name w:val="Subtle Reference"/>
    <w:basedOn w:val="96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80">
    <w:name w:val="Book Title"/>
    <w:basedOn w:val="96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81">
    <w:name w:val="FollowedHyperlink"/>
    <w:basedOn w:val="96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82">
    <w:name w:val="table of figures"/>
    <w:basedOn w:val="943"/>
    <w:next w:val="943"/>
    <w:uiPriority w:val="99"/>
    <w:unhideWhenUsed/>
    <w:pPr>
      <w:pBdr/>
      <w:spacing w:after="0" w:afterAutospacing="0"/>
      <w:ind/>
    </w:pPr>
  </w:style>
  <w:style w:type="paragraph" w:styleId="783">
    <w:name w:val="endnote text"/>
    <w:basedOn w:val="943"/>
    <w:link w:val="78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784">
    <w:name w:val="Endnote Text Char"/>
    <w:link w:val="783"/>
    <w:uiPriority w:val="99"/>
    <w:pPr>
      <w:pBdr/>
      <w:spacing/>
      <w:ind/>
    </w:pPr>
    <w:rPr>
      <w:sz w:val="20"/>
    </w:rPr>
  </w:style>
  <w:style w:type="character" w:styleId="785">
    <w:name w:val="endnote reference"/>
    <w:basedOn w:val="963"/>
    <w:uiPriority w:val="99"/>
    <w:semiHidden/>
    <w:unhideWhenUsed/>
    <w:pPr>
      <w:pBdr/>
      <w:spacing/>
      <w:ind/>
    </w:pPr>
    <w:rPr>
      <w:vertAlign w:val="superscript"/>
    </w:rPr>
  </w:style>
  <w:style w:type="character" w:styleId="786">
    <w:name w:val="Heading 1 Char"/>
    <w:link w:val="94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87">
    <w:name w:val="Heading 2 Char"/>
    <w:link w:val="94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88">
    <w:name w:val="Heading 3 Char"/>
    <w:link w:val="94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89">
    <w:name w:val="Heading 4 Char"/>
    <w:link w:val="94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90">
    <w:name w:val="Heading 5 Char"/>
    <w:link w:val="94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1">
    <w:name w:val="Heading 6 Char"/>
    <w:link w:val="94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7 Char"/>
    <w:link w:val="95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8 Char"/>
    <w:link w:val="95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4">
    <w:name w:val="Heading 9 Char"/>
    <w:link w:val="95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Title Char"/>
    <w:link w:val="961"/>
    <w:uiPriority w:val="10"/>
    <w:pPr>
      <w:pBdr/>
      <w:spacing/>
      <w:ind/>
    </w:pPr>
    <w:rPr>
      <w:sz w:val="48"/>
      <w:szCs w:val="48"/>
    </w:rPr>
  </w:style>
  <w:style w:type="character" w:styleId="796">
    <w:name w:val="Subtitle Char"/>
    <w:link w:val="959"/>
    <w:uiPriority w:val="11"/>
    <w:pPr>
      <w:pBdr/>
      <w:spacing/>
      <w:ind/>
    </w:pPr>
    <w:rPr>
      <w:sz w:val="24"/>
      <w:szCs w:val="24"/>
    </w:rPr>
  </w:style>
  <w:style w:type="character" w:styleId="797">
    <w:name w:val="Quote Char"/>
    <w:link w:val="958"/>
    <w:uiPriority w:val="29"/>
    <w:pPr>
      <w:pBdr/>
      <w:spacing/>
      <w:ind/>
    </w:pPr>
    <w:rPr>
      <w:i/>
    </w:rPr>
  </w:style>
  <w:style w:type="character" w:styleId="798">
    <w:name w:val="Intense Quote Char"/>
    <w:link w:val="960"/>
    <w:uiPriority w:val="30"/>
    <w:pPr>
      <w:pBdr/>
      <w:spacing/>
      <w:ind/>
    </w:pPr>
    <w:rPr>
      <w:i/>
    </w:rPr>
  </w:style>
  <w:style w:type="character" w:styleId="799">
    <w:name w:val="Header Char"/>
    <w:link w:val="956"/>
    <w:uiPriority w:val="99"/>
    <w:pPr>
      <w:pBdr/>
      <w:spacing/>
      <w:ind/>
    </w:pPr>
  </w:style>
  <w:style w:type="character" w:styleId="800">
    <w:name w:val="Footer Char"/>
    <w:link w:val="955"/>
    <w:uiPriority w:val="99"/>
    <w:pPr>
      <w:pBdr/>
      <w:spacing/>
      <w:ind/>
    </w:pPr>
  </w:style>
  <w:style w:type="paragraph" w:styleId="801">
    <w:name w:val="Caption"/>
    <w:basedOn w:val="943"/>
    <w:next w:val="943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802">
    <w:name w:val="Caption Char"/>
    <w:basedOn w:val="801"/>
    <w:link w:val="955"/>
    <w:uiPriority w:val="99"/>
    <w:pPr>
      <w:pBdr/>
      <w:spacing/>
      <w:ind/>
    </w:pPr>
  </w:style>
  <w:style w:type="table" w:styleId="803">
    <w:name w:val="Table Grid"/>
    <w:basedOn w:val="9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Table Grid Light"/>
    <w:basedOn w:val="9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1"/>
    <w:basedOn w:val="9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2"/>
    <w:basedOn w:val="9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 - Accent 1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 - Accent 2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3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4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5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6"/>
    <w:basedOn w:val="9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ned - Accent 1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 2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3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4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5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6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&amp; Lined - Accent 1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 2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3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4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5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6"/>
    <w:basedOn w:val="9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- Accent 1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- Accent 2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3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4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5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6"/>
    <w:basedOn w:val="9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9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30">
    <w:name w:val="footnote text"/>
    <w:basedOn w:val="943"/>
    <w:link w:val="931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31">
    <w:name w:val="Footnote Text Char"/>
    <w:link w:val="930"/>
    <w:uiPriority w:val="99"/>
    <w:pPr>
      <w:pBdr/>
      <w:spacing/>
      <w:ind/>
    </w:pPr>
    <w:rPr>
      <w:sz w:val="18"/>
    </w:rPr>
  </w:style>
  <w:style w:type="character" w:styleId="93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33">
    <w:name w:val="toc 1"/>
    <w:basedOn w:val="943"/>
    <w:next w:val="943"/>
    <w:uiPriority w:val="39"/>
    <w:unhideWhenUsed/>
    <w:pPr>
      <w:pBdr/>
      <w:spacing w:after="57"/>
      <w:ind w:right="0" w:firstLine="0" w:left="0"/>
    </w:pPr>
  </w:style>
  <w:style w:type="paragraph" w:styleId="934">
    <w:name w:val="toc 2"/>
    <w:basedOn w:val="943"/>
    <w:next w:val="943"/>
    <w:uiPriority w:val="39"/>
    <w:unhideWhenUsed/>
    <w:pPr>
      <w:pBdr/>
      <w:spacing w:after="57"/>
      <w:ind w:right="0" w:firstLine="0" w:left="283"/>
    </w:pPr>
  </w:style>
  <w:style w:type="paragraph" w:styleId="935">
    <w:name w:val="toc 3"/>
    <w:basedOn w:val="943"/>
    <w:next w:val="943"/>
    <w:uiPriority w:val="39"/>
    <w:unhideWhenUsed/>
    <w:pPr>
      <w:pBdr/>
      <w:spacing w:after="57"/>
      <w:ind w:right="0" w:firstLine="0" w:left="567"/>
    </w:pPr>
  </w:style>
  <w:style w:type="paragraph" w:styleId="936">
    <w:name w:val="toc 4"/>
    <w:basedOn w:val="943"/>
    <w:next w:val="943"/>
    <w:uiPriority w:val="39"/>
    <w:unhideWhenUsed/>
    <w:pPr>
      <w:pBdr/>
      <w:spacing w:after="57"/>
      <w:ind w:right="0" w:firstLine="0" w:left="850"/>
    </w:pPr>
  </w:style>
  <w:style w:type="paragraph" w:styleId="937">
    <w:name w:val="toc 5"/>
    <w:basedOn w:val="943"/>
    <w:next w:val="943"/>
    <w:uiPriority w:val="39"/>
    <w:unhideWhenUsed/>
    <w:pPr>
      <w:pBdr/>
      <w:spacing w:after="57"/>
      <w:ind w:right="0" w:firstLine="0" w:left="1134"/>
    </w:pPr>
  </w:style>
  <w:style w:type="paragraph" w:styleId="938">
    <w:name w:val="toc 6"/>
    <w:basedOn w:val="943"/>
    <w:next w:val="943"/>
    <w:uiPriority w:val="39"/>
    <w:unhideWhenUsed/>
    <w:pPr>
      <w:pBdr/>
      <w:spacing w:after="57"/>
      <w:ind w:right="0" w:firstLine="0" w:left="1417"/>
    </w:pPr>
  </w:style>
  <w:style w:type="paragraph" w:styleId="939">
    <w:name w:val="toc 7"/>
    <w:basedOn w:val="943"/>
    <w:next w:val="943"/>
    <w:uiPriority w:val="39"/>
    <w:unhideWhenUsed/>
    <w:pPr>
      <w:pBdr/>
      <w:spacing w:after="57"/>
      <w:ind w:right="0" w:firstLine="0" w:left="1701"/>
    </w:pPr>
  </w:style>
  <w:style w:type="paragraph" w:styleId="940">
    <w:name w:val="toc 8"/>
    <w:basedOn w:val="943"/>
    <w:next w:val="943"/>
    <w:uiPriority w:val="39"/>
    <w:unhideWhenUsed/>
    <w:pPr>
      <w:pBdr/>
      <w:spacing w:after="57"/>
      <w:ind w:right="0" w:firstLine="0" w:left="1984"/>
    </w:pPr>
  </w:style>
  <w:style w:type="paragraph" w:styleId="941">
    <w:name w:val="toc 9"/>
    <w:basedOn w:val="943"/>
    <w:next w:val="943"/>
    <w:uiPriority w:val="39"/>
    <w:unhideWhenUsed/>
    <w:pPr>
      <w:pBdr/>
      <w:spacing w:after="57"/>
      <w:ind w:right="0" w:firstLine="0" w:left="2268"/>
    </w:pPr>
  </w:style>
  <w:style w:type="paragraph" w:styleId="942">
    <w:name w:val="TOC Heading"/>
    <w:uiPriority w:val="39"/>
    <w:unhideWhenUsed/>
    <w:pPr>
      <w:pBdr/>
      <w:spacing/>
      <w:ind/>
    </w:pPr>
  </w:style>
  <w:style w:type="paragraph" w:styleId="943" w:default="1">
    <w:name w:val="Normal"/>
    <w:qFormat/>
    <w:pPr>
      <w:pBdr/>
      <w:spacing/>
      <w:ind/>
    </w:pPr>
  </w:style>
  <w:style w:type="paragraph" w:styleId="944">
    <w:name w:val="Heading 1"/>
    <w:basedOn w:val="943"/>
    <w:next w:val="943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945">
    <w:name w:val="Heading 2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946">
    <w:name w:val="Heading 3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947">
    <w:name w:val="Heading 4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948">
    <w:name w:val="Heading 5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949">
    <w:name w:val="Heading 6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950">
    <w:name w:val="Heading 7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="Arial" w:hAnsi="Arial" w:eastAsia="Arial" w:cs="Arial"/>
      <w:b/>
      <w:bCs/>
      <w:color w:val="606060"/>
      <w:sz w:val="24"/>
      <w:szCs w:val="24"/>
    </w:rPr>
  </w:style>
  <w:style w:type="paragraph" w:styleId="951">
    <w:name w:val="Heading 8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="Arial" w:hAnsi="Arial" w:eastAsia="Arial" w:cs="Arial"/>
      <w:color w:val="444444"/>
      <w:sz w:val="24"/>
      <w:szCs w:val="24"/>
    </w:rPr>
  </w:style>
  <w:style w:type="paragraph" w:styleId="952">
    <w:name w:val="Heading 9"/>
    <w:basedOn w:val="943"/>
    <w:next w:val="943"/>
    <w:uiPriority w:val="9"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table" w:styleId="95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4" w:default="1">
    <w:name w:val="No List"/>
    <w:uiPriority w:val="99"/>
    <w:semiHidden/>
    <w:unhideWhenUsed/>
    <w:pPr>
      <w:pBdr/>
      <w:spacing/>
      <w:ind/>
    </w:pPr>
  </w:style>
  <w:style w:type="paragraph" w:styleId="955">
    <w:name w:val="Footer"/>
    <w:basedOn w:val="94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56">
    <w:name w:val="Header"/>
    <w:basedOn w:val="94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57">
    <w:name w:val="No Spacing"/>
    <w:basedOn w:val="943"/>
    <w:uiPriority w:val="1"/>
    <w:qFormat/>
    <w:pPr>
      <w:pBdr/>
      <w:spacing w:after="0" w:line="240" w:lineRule="auto"/>
      <w:ind/>
    </w:pPr>
  </w:style>
  <w:style w:type="paragraph" w:styleId="958">
    <w:name w:val="Quote"/>
    <w:basedOn w:val="943"/>
    <w:next w:val="943"/>
    <w:uiPriority w:val="29"/>
    <w:qFormat/>
    <w:pPr>
      <w:pBdr/>
      <w:spacing/>
      <w:ind w:left="4536"/>
      <w:jc w:val="both"/>
    </w:pPr>
    <w:rPr>
      <w:i/>
      <w:iCs/>
      <w:color w:val="373737"/>
      <w:sz w:val="18"/>
      <w:szCs w:val="18"/>
    </w:rPr>
  </w:style>
  <w:style w:type="paragraph" w:styleId="959">
    <w:name w:val="Subtitle"/>
    <w:basedOn w:val="943"/>
    <w:next w:val="943"/>
    <w:uiPriority w:val="11"/>
    <w:qFormat/>
    <w:pPr>
      <w:numPr>
        <w:ilvl w:val="1"/>
      </w:numPr>
      <w:pBdr/>
      <w:spacing w:line="240" w:lineRule="auto"/>
      <w:ind/>
      <w:outlineLvl w:val="0"/>
    </w:pPr>
    <w:rPr>
      <w:rFonts w:ascii="Arial" w:hAnsi="Arial" w:eastAsia="Arial" w:cs="Arial"/>
      <w:i/>
      <w:iCs/>
      <w:color w:val="444444"/>
      <w:sz w:val="52"/>
      <w:szCs w:val="52"/>
    </w:rPr>
  </w:style>
  <w:style w:type="paragraph" w:styleId="960">
    <w:name w:val="Intense Quote"/>
    <w:basedOn w:val="943"/>
    <w:next w:val="943"/>
    <w:uiPriority w:val="30"/>
    <w:qFormat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eeeeee" w:fill="eeeeee"/>
      <w:spacing/>
      <w:ind w:right="567" w:left="567"/>
      <w:jc w:val="both"/>
    </w:pPr>
    <w:rPr>
      <w:b/>
      <w:bCs/>
      <w:i/>
      <w:iCs/>
      <w:color w:val="464646"/>
      <w:sz w:val="19"/>
      <w:szCs w:val="19"/>
    </w:rPr>
  </w:style>
  <w:style w:type="paragraph" w:styleId="961">
    <w:name w:val="Title"/>
    <w:basedOn w:val="943"/>
    <w:next w:val="943"/>
    <w:uiPriority w:val="10"/>
    <w:qFormat/>
    <w:pPr>
      <w:pBdr>
        <w:bottom w:val="single" w:color="000000" w:themeColor="text1" w:sz="24" w:space="0"/>
      </w:pBdr>
      <w:spacing w:after="80" w:before="300" w:line="240" w:lineRule="auto"/>
      <w:ind/>
      <w:contextualSpacing w:val="true"/>
      <w:outlineLvl w:val="0"/>
    </w:pPr>
    <w:rPr>
      <w:rFonts w:ascii="Arial" w:hAnsi="Arial" w:eastAsia="Arial" w:cs="Arial"/>
      <w:b/>
      <w:bCs/>
      <w:color w:val="000000" w:themeColor="text1"/>
      <w:sz w:val="72"/>
      <w:szCs w:val="72"/>
    </w:rPr>
  </w:style>
  <w:style w:type="paragraph" w:styleId="962">
    <w:name w:val="List Paragraph"/>
    <w:basedOn w:val="943"/>
    <w:uiPriority w:val="34"/>
    <w:qFormat/>
    <w:pPr>
      <w:pBdr/>
      <w:spacing/>
      <w:ind w:left="720"/>
      <w:contextualSpacing w:val="true"/>
    </w:pPr>
  </w:style>
  <w:style w:type="character" w:styleId="963" w:default="1">
    <w:name w:val="Default Paragraph Font"/>
    <w:uiPriority w:val="1"/>
    <w:semiHidden/>
    <w:unhideWhenUsed/>
    <w:pPr>
      <w:pBdr/>
      <w:spacing/>
      <w:ind/>
    </w:pPr>
  </w:style>
  <w:style w:type="paragraph" w:styleId="964">
    <w:name w:val="Обычный"/>
    <w:next w:val="954"/>
    <w:link w:val="954"/>
    <w:pPr>
      <w:keepNext w:val="false"/>
      <w:keepLines w:val="false"/>
      <w:pageBreakBefore w:val="false"/>
      <w:widowControl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160" w:afterAutospacing="0" w:before="0" w:beforeAutospacing="0" w:line="259" w:lineRule="auto"/>
      <w:ind w:right="0" w:firstLine="0" w:left="0"/>
      <w:contextualSpacing w:val="false"/>
      <w:jc w:val="left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rtl w:val="0"/>
      <w:cs w:val="0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Кондрашова Евгения</cp:lastModifiedBy>
  <cp:revision>192</cp:revision>
  <dcterms:modified xsi:type="dcterms:W3CDTF">2026-10-01T12:40:22Z</dcterms:modified>
</cp:coreProperties>
</file>